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MS0061-01-2025-005332-84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szCs w:val="27"/>
        </w:rPr>
        <w:t>ООО УК «ГУЛЛИВЕР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Валиевой Анжелики Викторовны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Валиева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УК «ГУЛЛИВЕР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Маяковского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 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оф.431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Валиева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Валиевой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ООО УК «ГУЛЛИВЕР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УК «ГУЛЛИВЕР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Валиева А.В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Валиевой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Валиеву Анжелику Викторовну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1175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